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523" w:rsidRDefault="004B7523" w:rsidP="004B7523">
      <w:pPr>
        <w:spacing w:line="360" w:lineRule="auto"/>
        <w:rPr>
          <w:rFonts w:ascii="Times New Roman" w:eastAsia="宋体" w:hAnsi="Times New Roman" w:cs="Times New Roman"/>
          <w:bCs/>
          <w:sz w:val="18"/>
          <w:szCs w:val="18"/>
          <w:lang w:eastAsia="zh-Hans"/>
        </w:rPr>
      </w:pPr>
      <w:r>
        <w:rPr>
          <w:rFonts w:ascii="Times New Roman" w:eastAsia="宋体" w:hAnsi="Times New Roman" w:cs="Times New Roman" w:hint="eastAsia"/>
          <w:bCs/>
          <w:sz w:val="18"/>
          <w:szCs w:val="18"/>
          <w:lang w:eastAsia="zh-Hans"/>
        </w:rPr>
        <w:t>附录</w:t>
      </w:r>
      <w:r>
        <w:rPr>
          <w:rFonts w:ascii="Times New Roman" w:eastAsia="宋体" w:hAnsi="Times New Roman" w:cs="Times New Roman"/>
          <w:bCs/>
          <w:sz w:val="18"/>
          <w:szCs w:val="18"/>
          <w:lang w:eastAsia="zh-Hans"/>
        </w:rPr>
        <w:t xml:space="preserve">1 </w:t>
      </w:r>
      <w:r>
        <w:rPr>
          <w:rFonts w:hint="eastAsia"/>
          <w:sz w:val="18"/>
          <w:szCs w:val="18"/>
        </w:rPr>
        <w:t>《烧伤合并新型冠状病毒感染临床救治专家共识（</w:t>
      </w:r>
      <w:r>
        <w:rPr>
          <w:sz w:val="18"/>
          <w:szCs w:val="18"/>
        </w:rPr>
        <w:t>2023</w:t>
      </w:r>
      <w:r>
        <w:rPr>
          <w:rFonts w:hint="eastAsia"/>
          <w:sz w:val="18"/>
          <w:szCs w:val="18"/>
        </w:rPr>
        <w:t>版）》的临床问题和推荐意见汇总</w:t>
      </w:r>
    </w:p>
    <w:p w:rsidR="004B7523" w:rsidRPr="004B7523" w:rsidRDefault="004B7523">
      <w:pPr>
        <w:pStyle w:val="112-"/>
        <w:ind w:firstLineChars="0" w:firstLine="0"/>
        <w:jc w:val="center"/>
        <w:rPr>
          <w:rFonts w:ascii="NEU-HZ" w:eastAsia="方正黑体_GBK" w:hAnsi="NEU-HZ"/>
          <w:sz w:val="18"/>
          <w:szCs w:val="18"/>
        </w:rPr>
      </w:pPr>
    </w:p>
    <w:p w:rsidR="000F3344" w:rsidRDefault="00871849">
      <w:pPr>
        <w:pStyle w:val="112-"/>
        <w:ind w:firstLineChars="0" w:firstLine="0"/>
        <w:jc w:val="center"/>
      </w:pPr>
      <w:r>
        <w:rPr>
          <w:rFonts w:ascii="NEU-HZ" w:eastAsia="方正黑体_GBK" w:hAnsi="NEU-HZ" w:hint="eastAsia"/>
          <w:sz w:val="18"/>
          <w:szCs w:val="18"/>
        </w:rPr>
        <w:t>表</w:t>
      </w:r>
      <w:r w:rsidR="004B7523">
        <w:rPr>
          <w:rFonts w:ascii="NEU-HZ" w:eastAsia="方正黑体_GBK" w:hAnsi="NEU-HZ"/>
          <w:sz w:val="18"/>
          <w:szCs w:val="18"/>
        </w:rPr>
        <w:t xml:space="preserve">1 </w:t>
      </w:r>
      <w:bookmarkStart w:id="0" w:name="_GoBack"/>
      <w:bookmarkEnd w:id="0"/>
      <w:r>
        <w:rPr>
          <w:rFonts w:hint="eastAsia"/>
          <w:sz w:val="18"/>
          <w:szCs w:val="18"/>
        </w:rPr>
        <w:t>《烧伤合并新型冠状病毒感染临床救治专家共识（</w:t>
      </w:r>
      <w:r>
        <w:rPr>
          <w:sz w:val="18"/>
          <w:szCs w:val="18"/>
        </w:rPr>
        <w:t>2023</w:t>
      </w:r>
      <w:r>
        <w:rPr>
          <w:rFonts w:hint="eastAsia"/>
          <w:sz w:val="18"/>
          <w:szCs w:val="18"/>
        </w:rPr>
        <w:t>版）》的临床问题和推荐意见汇总</w:t>
      </w:r>
    </w:p>
    <w:tbl>
      <w:tblPr>
        <w:tblW w:w="0" w:type="auto"/>
        <w:jc w:val="center"/>
        <w:tblBorders>
          <w:top w:val="single" w:sz="6" w:space="0" w:color="000000"/>
          <w:left w:val="nil"/>
          <w:bottom w:val="single" w:sz="6" w:space="0" w:color="000000"/>
          <w:right w:val="nil"/>
        </w:tblBorders>
        <w:tblLook w:val="04A0" w:firstRow="1" w:lastRow="0" w:firstColumn="1" w:lastColumn="0" w:noHBand="0" w:noVBand="1"/>
      </w:tblPr>
      <w:tblGrid>
        <w:gridCol w:w="4252"/>
        <w:gridCol w:w="5374"/>
      </w:tblGrid>
      <w:tr w:rsidR="000F3344">
        <w:trPr>
          <w:trHeight w:val="283"/>
          <w:jc w:val="center"/>
        </w:trPr>
        <w:tc>
          <w:tcPr>
            <w:tcW w:w="4252" w:type="dxa"/>
            <w:tcBorders>
              <w:top w:val="single" w:sz="6" w:space="0" w:color="000000"/>
              <w:left w:val="nil"/>
              <w:bottom w:val="single" w:sz="2" w:space="0" w:color="000000"/>
              <w:right w:val="nil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:rsidR="000F3344" w:rsidRDefault="00871849">
            <w:pPr>
              <w:pStyle w:val="af6"/>
              <w:ind w:left="160" w:hanging="160"/>
            </w:pPr>
            <w:r>
              <w:rPr>
                <w:rFonts w:hint="eastAsia"/>
              </w:rPr>
              <w:t>临床问题</w:t>
            </w:r>
            <w:bookmarkStart w:id="1" w:name="FX_TBL_ID8000747A"/>
            <w:bookmarkEnd w:id="1"/>
          </w:p>
        </w:tc>
        <w:tc>
          <w:tcPr>
            <w:tcW w:w="5374" w:type="dxa"/>
            <w:tcBorders>
              <w:top w:val="single" w:sz="6" w:space="0" w:color="000000"/>
              <w:left w:val="nil"/>
              <w:bottom w:val="single" w:sz="2" w:space="0" w:color="000000"/>
              <w:right w:val="nil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:rsidR="000F3344" w:rsidRDefault="00871849">
            <w:pPr>
              <w:pStyle w:val="af6"/>
              <w:ind w:left="160" w:hanging="160"/>
            </w:pPr>
            <w:r>
              <w:rPr>
                <w:rFonts w:hint="eastAsia"/>
              </w:rPr>
              <w:t>推荐意见</w:t>
            </w:r>
          </w:p>
        </w:tc>
      </w:tr>
      <w:tr w:rsidR="000F3344">
        <w:trPr>
          <w:trHeight w:val="813"/>
          <w:jc w:val="center"/>
        </w:trPr>
        <w:tc>
          <w:tcPr>
            <w:tcW w:w="4252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:rsidR="000F3344" w:rsidRDefault="00871849">
            <w:pPr>
              <w:pStyle w:val="af6"/>
              <w:ind w:firstLineChars="0" w:firstLine="0"/>
              <w:jc w:val="both"/>
            </w:pPr>
            <w:r>
              <w:rPr>
                <w:rFonts w:hint="eastAsia"/>
              </w:rPr>
              <w:t>临床问题</w:t>
            </w:r>
            <w:r>
              <w:t>1</w:t>
            </w:r>
            <w:r>
              <w:rPr>
                <w:rFonts w:hint="eastAsia"/>
              </w:rPr>
              <w:t>：</w:t>
            </w:r>
            <w:r>
              <w:t>COVID-19</w:t>
            </w:r>
            <w:r>
              <w:rPr>
                <w:rFonts w:hint="eastAsia"/>
              </w:rPr>
              <w:t>的严重程度分级</w:t>
            </w:r>
          </w:p>
        </w:tc>
        <w:tc>
          <w:tcPr>
            <w:tcW w:w="5374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:rsidR="000F3344" w:rsidRDefault="00871849">
            <w:pPr>
              <w:pStyle w:val="af6"/>
              <w:ind w:firstLineChars="0" w:firstLine="0"/>
              <w:jc w:val="both"/>
            </w:pPr>
            <w:r>
              <w:rPr>
                <w:rFonts w:hint="eastAsia"/>
              </w:rPr>
              <w:t>推荐意见</w:t>
            </w:r>
            <w:r>
              <w:t>1</w:t>
            </w:r>
            <w:r>
              <w:rPr>
                <w:rFonts w:hint="eastAsia"/>
              </w:rPr>
              <w:t>（强推荐）：按照国家规定，将</w:t>
            </w:r>
            <w:r>
              <w:t>COVID-19</w:t>
            </w:r>
            <w:r>
              <w:rPr>
                <w:rFonts w:hint="eastAsia"/>
              </w:rPr>
              <w:t>患者分为轻型、中型、重型和危重型，重点监测和识别重型</w:t>
            </w:r>
            <w:r>
              <w:t>/</w:t>
            </w:r>
            <w:r>
              <w:rPr>
                <w:rFonts w:hint="eastAsia"/>
              </w:rPr>
              <w:t>危重型高危人群，做到“早评估、早干预、综合施治、精准施策”，并根据国家最新诊疗方案及时调整防治措施。</w:t>
            </w:r>
          </w:p>
        </w:tc>
      </w:tr>
      <w:tr w:rsidR="000F3344">
        <w:trPr>
          <w:trHeight w:val="1343"/>
          <w:jc w:val="center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:rsidR="000F3344" w:rsidRDefault="00871849">
            <w:pPr>
              <w:pStyle w:val="af6"/>
              <w:ind w:firstLineChars="0" w:firstLine="0"/>
              <w:jc w:val="both"/>
            </w:pPr>
            <w:r>
              <w:rPr>
                <w:rFonts w:hint="eastAsia"/>
              </w:rPr>
              <w:t>临床问题</w:t>
            </w:r>
            <w:r>
              <w:t>2</w:t>
            </w:r>
            <w:r>
              <w:rPr>
                <w:rFonts w:hint="eastAsia"/>
              </w:rPr>
              <w:t>：烧伤合并</w:t>
            </w:r>
            <w:r>
              <w:t>COVID-19</w:t>
            </w:r>
            <w:r>
              <w:rPr>
                <w:rFonts w:hint="eastAsia"/>
              </w:rPr>
              <w:t>患者人工气道的建立</w:t>
            </w:r>
          </w:p>
        </w:tc>
        <w:tc>
          <w:tcPr>
            <w:tcW w:w="5374" w:type="dxa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:rsidR="000F3344" w:rsidRDefault="00871849">
            <w:pPr>
              <w:pStyle w:val="af6"/>
              <w:ind w:firstLineChars="0" w:firstLine="0"/>
              <w:jc w:val="both"/>
            </w:pPr>
            <w:r>
              <w:rPr>
                <w:rFonts w:hint="eastAsia"/>
              </w:rPr>
              <w:t>推荐意见</w:t>
            </w:r>
            <w:r>
              <w:t>2</w:t>
            </w:r>
            <w:r>
              <w:rPr>
                <w:rFonts w:hint="eastAsia"/>
              </w:rPr>
              <w:t>（中推荐）：依据患者临床表现，对烧伤合并</w:t>
            </w:r>
            <w:r>
              <w:t>COVID-19</w:t>
            </w:r>
            <w:r>
              <w:rPr>
                <w:rFonts w:hint="eastAsia"/>
              </w:rPr>
              <w:t>患者，尤其是合并中重度吸入性损伤患者，推荐放宽建立人工气道指征。推荐预防性建立人工气道，建议优先选择气管切开。气管切开时，应加强操作者的个人防护（加用</w:t>
            </w:r>
            <w:r>
              <w:t>N95</w:t>
            </w:r>
            <w:r>
              <w:rPr>
                <w:rFonts w:hint="eastAsia"/>
              </w:rPr>
              <w:t>口罩和面屏）、缩短操作时间、减少气溶胶飞溅，严格防范病毒的院内传播和职业暴露。</w:t>
            </w:r>
          </w:p>
        </w:tc>
      </w:tr>
      <w:tr w:rsidR="000F3344">
        <w:trPr>
          <w:trHeight w:val="1078"/>
          <w:jc w:val="center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:rsidR="000F3344" w:rsidRDefault="00871849">
            <w:pPr>
              <w:pStyle w:val="af6"/>
              <w:ind w:firstLineChars="0" w:firstLine="0"/>
              <w:jc w:val="both"/>
            </w:pPr>
            <w:r>
              <w:rPr>
                <w:rFonts w:hint="eastAsia"/>
              </w:rPr>
              <w:t>临床问题</w:t>
            </w:r>
            <w:r>
              <w:t>3</w:t>
            </w:r>
            <w:r>
              <w:rPr>
                <w:rFonts w:hint="eastAsia"/>
              </w:rPr>
              <w:t>：烧伤合并</w:t>
            </w:r>
            <w:r>
              <w:t>COVID-19</w:t>
            </w:r>
            <w:r>
              <w:rPr>
                <w:rFonts w:hint="eastAsia"/>
              </w:rPr>
              <w:t>患者的液体复苏和容量管理</w:t>
            </w:r>
          </w:p>
        </w:tc>
        <w:tc>
          <w:tcPr>
            <w:tcW w:w="5374" w:type="dxa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:rsidR="000F3344" w:rsidRDefault="00871849">
            <w:pPr>
              <w:pStyle w:val="af6"/>
              <w:ind w:firstLineChars="0" w:firstLine="0"/>
              <w:jc w:val="both"/>
            </w:pPr>
            <w:r>
              <w:rPr>
                <w:rFonts w:hint="eastAsia"/>
              </w:rPr>
              <w:t>推荐意见</w:t>
            </w:r>
            <w:r>
              <w:t>3</w:t>
            </w:r>
            <w:r>
              <w:rPr>
                <w:rFonts w:hint="eastAsia"/>
              </w:rPr>
              <w:t>（中推荐）：推荐烧伤合并</w:t>
            </w:r>
            <w:r>
              <w:t>COVID-19</w:t>
            </w:r>
            <w:r>
              <w:rPr>
                <w:rFonts w:hint="eastAsia"/>
              </w:rPr>
              <w:t>患者采用限制性液体复苏和保守性容量管理策略。在保证血流动力学平稳和组织灌注的前提下，尽可能降低容量管理目标，休克期将尿量维持在</w:t>
            </w:r>
            <w:r>
              <w:t>0.5 mL·kg</w:t>
            </w:r>
            <w:r>
              <w:rPr>
                <w:vertAlign w:val="superscript"/>
              </w:rPr>
              <w:t>-1</w:t>
            </w:r>
            <w:r>
              <w:t>·h</w:t>
            </w:r>
            <w:r>
              <w:rPr>
                <w:vertAlign w:val="superscript"/>
              </w:rPr>
              <w:t>-1</w:t>
            </w:r>
            <w:r>
              <w:rPr>
                <w:rFonts w:hint="eastAsia"/>
              </w:rPr>
              <w:t>，休克期之后尽量保持液体负平衡。</w:t>
            </w:r>
          </w:p>
        </w:tc>
      </w:tr>
      <w:tr w:rsidR="000F3344">
        <w:trPr>
          <w:trHeight w:val="1608"/>
          <w:jc w:val="center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:rsidR="000F3344" w:rsidRDefault="00871849">
            <w:pPr>
              <w:pStyle w:val="af6"/>
              <w:ind w:firstLineChars="0" w:firstLine="0"/>
              <w:jc w:val="both"/>
            </w:pPr>
            <w:r>
              <w:rPr>
                <w:rFonts w:hint="eastAsia"/>
              </w:rPr>
              <w:t>临床问题</w:t>
            </w:r>
            <w:r>
              <w:t>4</w:t>
            </w:r>
            <w:r>
              <w:rPr>
                <w:rFonts w:hint="eastAsia"/>
              </w:rPr>
              <w:t>：围手术期管理——手术时机选择</w:t>
            </w:r>
          </w:p>
        </w:tc>
        <w:tc>
          <w:tcPr>
            <w:tcW w:w="5374" w:type="dxa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:rsidR="000F3344" w:rsidRDefault="00871849">
            <w:pPr>
              <w:pStyle w:val="af6"/>
              <w:ind w:firstLineChars="0" w:firstLine="0"/>
              <w:jc w:val="both"/>
            </w:pPr>
            <w:r>
              <w:rPr>
                <w:rFonts w:hint="eastAsia"/>
              </w:rPr>
              <w:t>推荐意见</w:t>
            </w:r>
            <w:r>
              <w:t>4</w:t>
            </w:r>
            <w:r>
              <w:rPr>
                <w:rFonts w:hint="eastAsia"/>
              </w:rPr>
              <w:t>（中推荐）：推荐按照烧伤面积和深度、创面类型、</w:t>
            </w:r>
            <w:r>
              <w:t>COVID-19</w:t>
            </w:r>
            <w:r>
              <w:rPr>
                <w:rFonts w:hint="eastAsia"/>
              </w:rPr>
              <w:t>和全身情况等进行个体化风险</w:t>
            </w:r>
            <w:r>
              <w:t>-</w:t>
            </w:r>
            <w:r>
              <w:rPr>
                <w:rFonts w:hint="eastAsia"/>
              </w:rPr>
              <w:t>获益评估，综合考虑手术时机。总体上，应采取保守的手术策略，对轻中度烧伤和慢性创面患者可待</w:t>
            </w:r>
            <w:r>
              <w:t>COVID-19</w:t>
            </w:r>
            <w:r>
              <w:rPr>
                <w:rFonts w:hint="eastAsia"/>
              </w:rPr>
              <w:t>病情平稳后再行手术治疗，对于重度和特重度烧伤患者应在病情平稳前提下通过“少量多次”的方式尽早安排手术，且需做好脏器功能评估和充分的术前准备。同时，需重视中长期</w:t>
            </w:r>
            <w:r>
              <w:t>COVID-19</w:t>
            </w:r>
            <w:r>
              <w:rPr>
                <w:rFonts w:hint="eastAsia"/>
              </w:rPr>
              <w:t>对围手术期风险的影响。</w:t>
            </w:r>
          </w:p>
        </w:tc>
      </w:tr>
      <w:tr w:rsidR="000F3344">
        <w:trPr>
          <w:trHeight w:val="548"/>
          <w:jc w:val="center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:rsidR="000F3344" w:rsidRDefault="00871849">
            <w:pPr>
              <w:pStyle w:val="af6"/>
              <w:ind w:firstLineChars="0" w:firstLine="0"/>
              <w:jc w:val="both"/>
            </w:pPr>
            <w:r>
              <w:rPr>
                <w:rFonts w:hint="eastAsia"/>
              </w:rPr>
              <w:t>临床问题</w:t>
            </w:r>
            <w:r>
              <w:t>5</w:t>
            </w:r>
            <w:r>
              <w:rPr>
                <w:rFonts w:hint="eastAsia"/>
              </w:rPr>
              <w:t>：围手术期管理——麻醉方式选择</w:t>
            </w:r>
          </w:p>
        </w:tc>
        <w:tc>
          <w:tcPr>
            <w:tcW w:w="5374" w:type="dxa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:rsidR="000F3344" w:rsidRDefault="00871849">
            <w:pPr>
              <w:pStyle w:val="af6"/>
              <w:ind w:firstLineChars="0" w:firstLine="0"/>
              <w:jc w:val="both"/>
            </w:pPr>
            <w:r>
              <w:rPr>
                <w:rFonts w:hint="eastAsia"/>
              </w:rPr>
              <w:t>推荐意见</w:t>
            </w:r>
            <w:r>
              <w:t>5</w:t>
            </w:r>
            <w:r>
              <w:rPr>
                <w:rFonts w:hint="eastAsia"/>
              </w:rPr>
              <w:t>（中推荐）：在病情允许的情况下，建议优先选择局部麻醉或区域阻滞麻醉而避免全身麻醉，减少产生气溶胶的相关操作。</w:t>
            </w:r>
          </w:p>
        </w:tc>
      </w:tr>
      <w:tr w:rsidR="000F3344">
        <w:trPr>
          <w:trHeight w:val="548"/>
          <w:jc w:val="center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:rsidR="000F3344" w:rsidRDefault="00871849">
            <w:pPr>
              <w:pStyle w:val="af6"/>
              <w:ind w:firstLineChars="0" w:firstLine="0"/>
              <w:jc w:val="both"/>
            </w:pPr>
            <w:r>
              <w:rPr>
                <w:rFonts w:hint="eastAsia"/>
              </w:rPr>
              <w:t>临床问题</w:t>
            </w:r>
            <w:r>
              <w:t>6</w:t>
            </w:r>
            <w:r>
              <w:rPr>
                <w:rFonts w:hint="eastAsia"/>
              </w:rPr>
              <w:t>：围手术期管理——手术室管理</w:t>
            </w:r>
          </w:p>
        </w:tc>
        <w:tc>
          <w:tcPr>
            <w:tcW w:w="5374" w:type="dxa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:rsidR="000F3344" w:rsidRDefault="00871849">
            <w:pPr>
              <w:pStyle w:val="af6"/>
              <w:ind w:firstLineChars="0" w:firstLine="0"/>
              <w:jc w:val="both"/>
            </w:pPr>
            <w:r>
              <w:rPr>
                <w:rFonts w:hint="eastAsia"/>
              </w:rPr>
              <w:t>推荐意见</w:t>
            </w:r>
            <w:r>
              <w:t>6</w:t>
            </w:r>
            <w:r>
              <w:rPr>
                <w:rFonts w:hint="eastAsia"/>
              </w:rPr>
              <w:t>（强推荐）：建议手术室通过合理安排手术次序、手术室位置、提高消毒级别、规范垃圾处理等加强院内防控管理，减少病毒传播。</w:t>
            </w:r>
          </w:p>
        </w:tc>
      </w:tr>
      <w:tr w:rsidR="000F3344">
        <w:trPr>
          <w:trHeight w:val="1078"/>
          <w:jc w:val="center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:rsidR="000F3344" w:rsidRDefault="00871849">
            <w:pPr>
              <w:pStyle w:val="af6"/>
              <w:ind w:firstLineChars="0" w:firstLine="0"/>
              <w:jc w:val="both"/>
            </w:pPr>
            <w:r>
              <w:rPr>
                <w:rFonts w:hint="eastAsia"/>
              </w:rPr>
              <w:t>临床问题</w:t>
            </w:r>
            <w:r>
              <w:t>7</w:t>
            </w:r>
            <w:r>
              <w:rPr>
                <w:rFonts w:hint="eastAsia"/>
              </w:rPr>
              <w:t>：烧伤换药和病房管理</w:t>
            </w:r>
          </w:p>
        </w:tc>
        <w:tc>
          <w:tcPr>
            <w:tcW w:w="5374" w:type="dxa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:rsidR="000F3344" w:rsidRDefault="00871849">
            <w:pPr>
              <w:pStyle w:val="af6"/>
              <w:ind w:firstLineChars="0" w:firstLine="0"/>
              <w:jc w:val="both"/>
            </w:pPr>
            <w:r>
              <w:rPr>
                <w:rFonts w:hint="eastAsia"/>
              </w:rPr>
              <w:t>推荐意见</w:t>
            </w:r>
            <w:r>
              <w:t>7</w:t>
            </w:r>
            <w:r>
              <w:rPr>
                <w:rFonts w:hint="eastAsia"/>
              </w:rPr>
              <w:t>（强推荐）：烧伤病房最好设置独立隔离病房，加强患者管理和环境消毒，减少院内交叉感染，做到“早诊断、早隔离”。医护人员进行烧伤换药时应加强个人防护，使用新型功能敷料等减少换药频次，缩短每次换药时操作时长，避免体液接触，并将医疗垃圾及时封包转运。</w:t>
            </w:r>
          </w:p>
        </w:tc>
      </w:tr>
      <w:tr w:rsidR="000F3344">
        <w:trPr>
          <w:trHeight w:val="1608"/>
          <w:jc w:val="center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:rsidR="000F3344" w:rsidRDefault="00871849">
            <w:pPr>
              <w:pStyle w:val="af6"/>
              <w:ind w:firstLineChars="0" w:firstLine="0"/>
              <w:jc w:val="both"/>
            </w:pPr>
            <w:r>
              <w:rPr>
                <w:rFonts w:hint="eastAsia"/>
              </w:rPr>
              <w:t>临床问题</w:t>
            </w:r>
            <w:r>
              <w:t>8</w:t>
            </w:r>
            <w:r>
              <w:rPr>
                <w:rFonts w:hint="eastAsia"/>
              </w:rPr>
              <w:t>：呼吸功能支持</w:t>
            </w:r>
          </w:p>
        </w:tc>
        <w:tc>
          <w:tcPr>
            <w:tcW w:w="5374" w:type="dxa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:rsidR="000F3344" w:rsidRDefault="00871849" w:rsidP="00403952">
            <w:pPr>
              <w:pStyle w:val="af6"/>
              <w:ind w:firstLineChars="0" w:firstLine="0"/>
              <w:jc w:val="both"/>
            </w:pPr>
            <w:r>
              <w:rPr>
                <w:rFonts w:hint="eastAsia"/>
              </w:rPr>
              <w:t>推荐意见</w:t>
            </w:r>
            <w:r>
              <w:t>8</w:t>
            </w:r>
            <w:r>
              <w:rPr>
                <w:rFonts w:hint="eastAsia"/>
              </w:rPr>
              <w:t>（中推荐）：呼吸功能的监测与支持是烧伤合并</w:t>
            </w:r>
            <w:r>
              <w:t>COVID-19</w:t>
            </w:r>
            <w:r>
              <w:rPr>
                <w:rFonts w:hint="eastAsia"/>
              </w:rPr>
              <w:t>患者的关键救治措施。建议烧伤合并重型</w:t>
            </w:r>
            <w:r>
              <w:t>/</w:t>
            </w:r>
            <w:r>
              <w:rPr>
                <w:rFonts w:hint="eastAsia"/>
              </w:rPr>
              <w:t>危重型</w:t>
            </w:r>
            <w:r>
              <w:t>COVID-19</w:t>
            </w:r>
            <w:r>
              <w:rPr>
                <w:rFonts w:hint="eastAsia"/>
              </w:rPr>
              <w:t>高危人群和确诊患者常规进行呼吸功能监测。根据监测结果，选择普通氧疗、经鼻高流量氧疗、无创正压通气、有创正压通气和体外膜肺氧合等治疗，并利用烧伤翻身床进行俯卧位通气。推荐重症患者的氧疗目标为维持经皮动脉血氧饱和度</w:t>
            </w:r>
            <w:r>
              <w:t>&gt;0.92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lastRenderedPageBreak/>
              <w:t>氧合指数</w:t>
            </w:r>
            <w:r>
              <w:t>&gt;200 mmHg</w:t>
            </w:r>
            <w:r>
              <w:rPr>
                <w:rFonts w:hint="eastAsia"/>
              </w:rPr>
              <w:t>。</w:t>
            </w:r>
          </w:p>
        </w:tc>
      </w:tr>
      <w:tr w:rsidR="000F3344">
        <w:trPr>
          <w:trHeight w:val="1873"/>
          <w:jc w:val="center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:rsidR="000F3344" w:rsidRDefault="00871849">
            <w:pPr>
              <w:pStyle w:val="af6"/>
              <w:ind w:firstLineChars="0" w:firstLine="0"/>
              <w:jc w:val="both"/>
            </w:pPr>
            <w:r>
              <w:rPr>
                <w:rFonts w:hint="eastAsia"/>
              </w:rPr>
              <w:lastRenderedPageBreak/>
              <w:t>临床问题</w:t>
            </w:r>
            <w:r>
              <w:t>9</w:t>
            </w:r>
            <w:r>
              <w:rPr>
                <w:rFonts w:hint="eastAsia"/>
              </w:rPr>
              <w:t>：心脏并发症</w:t>
            </w:r>
          </w:p>
        </w:tc>
        <w:tc>
          <w:tcPr>
            <w:tcW w:w="5374" w:type="dxa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:rsidR="000F3344" w:rsidRDefault="00871849" w:rsidP="00403952">
            <w:pPr>
              <w:pStyle w:val="af6"/>
              <w:ind w:firstLineChars="0" w:firstLine="0"/>
              <w:jc w:val="both"/>
            </w:pPr>
            <w:r>
              <w:rPr>
                <w:rFonts w:hint="eastAsia"/>
              </w:rPr>
              <w:t>推荐意见</w:t>
            </w:r>
            <w:r>
              <w:t>9</w:t>
            </w:r>
            <w:r>
              <w:rPr>
                <w:rFonts w:hint="eastAsia"/>
              </w:rPr>
              <w:t>（中推荐）：烧伤合并</w:t>
            </w:r>
            <w:r>
              <w:t>COVID-19</w:t>
            </w:r>
            <w:r>
              <w:rPr>
                <w:rFonts w:hint="eastAsia"/>
              </w:rPr>
              <w:t>患者应警惕心肌炎、心包炎和心律失常等心脏并发症，对疑诊者应常规监测心肌钙蛋白、心房钠尿肽、心电图、超声心动图和血流动力学等指标，必要时行心血管磁共振检查和组织活检以确诊。但需要与烧伤本身引起的病理生理变化相区别。急性心肌炎诊断明确者，推荐按照血流动力学情况和临床症状严重程度，给予</w:t>
            </w:r>
            <w:r>
              <w:t>β</w:t>
            </w:r>
            <w:r>
              <w:rPr>
                <w:rFonts w:hint="eastAsia"/>
              </w:rPr>
              <w:t>受体阻滞剂、血管紧张素转化酶抑制剂</w:t>
            </w:r>
            <w:r>
              <w:t>/</w:t>
            </w:r>
            <w:r>
              <w:rPr>
                <w:rFonts w:hint="eastAsia"/>
              </w:rPr>
              <w:t>血管紧张素</w:t>
            </w:r>
            <w:r>
              <w:t>Ⅱ</w:t>
            </w:r>
            <w:r>
              <w:rPr>
                <w:rFonts w:hint="eastAsia"/>
              </w:rPr>
              <w:t>受体拮抗剂类药物、非甾体抗炎药、糖皮质激素等进行单独或联合用药治疗。</w:t>
            </w:r>
          </w:p>
        </w:tc>
      </w:tr>
      <w:tr w:rsidR="000F3344">
        <w:trPr>
          <w:trHeight w:val="1078"/>
          <w:jc w:val="center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:rsidR="000F3344" w:rsidRDefault="00871849">
            <w:pPr>
              <w:pStyle w:val="af6"/>
              <w:ind w:firstLineChars="0" w:firstLine="0"/>
              <w:jc w:val="both"/>
            </w:pPr>
            <w:r>
              <w:rPr>
                <w:rFonts w:hint="eastAsia"/>
              </w:rPr>
              <w:t>临床问题</w:t>
            </w:r>
            <w:r>
              <w:t>10</w:t>
            </w:r>
            <w:r>
              <w:rPr>
                <w:rFonts w:hint="eastAsia"/>
              </w:rPr>
              <w:t>：肾脏并发症</w:t>
            </w:r>
          </w:p>
        </w:tc>
        <w:tc>
          <w:tcPr>
            <w:tcW w:w="5374" w:type="dxa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:rsidR="000F3344" w:rsidRDefault="00871849" w:rsidP="00403952">
            <w:pPr>
              <w:pStyle w:val="af6"/>
              <w:ind w:firstLineChars="0" w:firstLine="0"/>
              <w:jc w:val="both"/>
            </w:pPr>
            <w:r>
              <w:rPr>
                <w:rFonts w:hint="eastAsia"/>
              </w:rPr>
              <w:t>推荐意见</w:t>
            </w:r>
            <w:r>
              <w:t>10</w:t>
            </w:r>
            <w:r>
              <w:rPr>
                <w:rFonts w:hint="eastAsia"/>
              </w:rPr>
              <w:t>（中推荐）：推荐监测血肌酐和尿量，按照改善全球肾脏病预后组织标准进行急性肾损伤分期，并选择相应的治疗方案。对于炎症反应过度、液体负荷较大的烧伤合并</w:t>
            </w:r>
            <w:r>
              <w:t>COVID-19</w:t>
            </w:r>
            <w:r>
              <w:rPr>
                <w:rFonts w:hint="eastAsia"/>
              </w:rPr>
              <w:t>患者，在资源充沛的情况下，建议尽早开始以清除炎症介质和液体管理为目的的肾脏替代治疗。</w:t>
            </w:r>
          </w:p>
        </w:tc>
      </w:tr>
      <w:tr w:rsidR="000F3344">
        <w:trPr>
          <w:trHeight w:val="1078"/>
          <w:jc w:val="center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:rsidR="000F3344" w:rsidRDefault="00871849">
            <w:pPr>
              <w:pStyle w:val="af6"/>
              <w:ind w:firstLineChars="0" w:firstLine="0"/>
              <w:jc w:val="both"/>
            </w:pPr>
            <w:r>
              <w:rPr>
                <w:rFonts w:hint="eastAsia"/>
              </w:rPr>
              <w:t>临床问题</w:t>
            </w:r>
            <w:r>
              <w:t>11</w:t>
            </w:r>
            <w:r>
              <w:rPr>
                <w:rFonts w:hint="eastAsia"/>
              </w:rPr>
              <w:t>：凝血相关并发症</w:t>
            </w:r>
          </w:p>
        </w:tc>
        <w:tc>
          <w:tcPr>
            <w:tcW w:w="5374" w:type="dxa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:rsidR="000F3344" w:rsidRDefault="00871849">
            <w:pPr>
              <w:pStyle w:val="af6"/>
              <w:ind w:firstLineChars="0" w:firstLine="0"/>
              <w:jc w:val="both"/>
            </w:pPr>
            <w:r>
              <w:rPr>
                <w:rFonts w:hint="eastAsia"/>
              </w:rPr>
              <w:t>推荐意见</w:t>
            </w:r>
            <w:r>
              <w:t>11</w:t>
            </w:r>
            <w:r>
              <w:rPr>
                <w:rFonts w:hint="eastAsia"/>
              </w:rPr>
              <w:t>（中推荐）：建议将烧伤合并</w:t>
            </w:r>
            <w:r>
              <w:t>COVID-19</w:t>
            </w:r>
            <w:r>
              <w:rPr>
                <w:rFonts w:hint="eastAsia"/>
              </w:rPr>
              <w:t>患者评估为静脉血栓栓塞高风险人群，并动态监测其血管超声和</w:t>
            </w:r>
            <w:r>
              <w:t>D-</w:t>
            </w:r>
            <w:r>
              <w:rPr>
                <w:rFonts w:hint="eastAsia"/>
              </w:rPr>
              <w:t>二聚体水平。在评估出血风险后，尽早开始应用治疗剂量的低分子量肝素抗凝进行预防，同时监测凝血功能和并发症。</w:t>
            </w:r>
          </w:p>
        </w:tc>
      </w:tr>
      <w:tr w:rsidR="000F3344">
        <w:trPr>
          <w:trHeight w:val="813"/>
          <w:jc w:val="center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:rsidR="000F3344" w:rsidRDefault="00871849">
            <w:pPr>
              <w:pStyle w:val="af6"/>
              <w:ind w:firstLineChars="0" w:firstLine="0"/>
              <w:jc w:val="left"/>
            </w:pPr>
            <w:r>
              <w:rPr>
                <w:rFonts w:hint="eastAsia"/>
              </w:rPr>
              <w:t>临床问题</w:t>
            </w:r>
            <w:r>
              <w:t>12</w:t>
            </w:r>
            <w:r>
              <w:rPr>
                <w:rFonts w:hint="eastAsia"/>
              </w:rPr>
              <w:t>：针对</w:t>
            </w:r>
            <w:r>
              <w:t>COVID-19</w:t>
            </w:r>
            <w:r>
              <w:rPr>
                <w:rFonts w:hint="eastAsia"/>
              </w:rPr>
              <w:t>的基础治疗</w:t>
            </w:r>
          </w:p>
        </w:tc>
        <w:tc>
          <w:tcPr>
            <w:tcW w:w="5374" w:type="dxa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:rsidR="000F3344" w:rsidRDefault="00871849">
            <w:pPr>
              <w:pStyle w:val="af6"/>
              <w:ind w:firstLineChars="0" w:firstLine="0"/>
              <w:jc w:val="both"/>
            </w:pPr>
            <w:r>
              <w:rPr>
                <w:rFonts w:hint="eastAsia"/>
              </w:rPr>
              <w:t>推荐意见</w:t>
            </w:r>
            <w:r>
              <w:t>12</w:t>
            </w:r>
            <w:r>
              <w:rPr>
                <w:rFonts w:hint="eastAsia"/>
              </w:rPr>
              <w:t>（中推荐）：建议将抗病毒治疗作为烧伤合并</w:t>
            </w:r>
            <w:r>
              <w:t>COVID-19</w:t>
            </w:r>
            <w:r>
              <w:rPr>
                <w:rFonts w:hint="eastAsia"/>
              </w:rPr>
              <w:t>患者的基础治疗，合理选择并尽早开始抗病毒治疗。根据患者免疫状态和炎症反应情况，可酌情短期应用糖皮质激素。</w:t>
            </w:r>
          </w:p>
        </w:tc>
      </w:tr>
      <w:tr w:rsidR="000F3344">
        <w:trPr>
          <w:trHeight w:val="548"/>
          <w:jc w:val="center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:rsidR="000F3344" w:rsidRDefault="00871849">
            <w:pPr>
              <w:pStyle w:val="af6"/>
              <w:ind w:firstLineChars="0" w:firstLine="0"/>
              <w:jc w:val="both"/>
            </w:pPr>
            <w:r>
              <w:rPr>
                <w:rFonts w:hint="eastAsia"/>
              </w:rPr>
              <w:t>临床问题</w:t>
            </w:r>
            <w:r>
              <w:t>13</w:t>
            </w:r>
            <w:r>
              <w:rPr>
                <w:rFonts w:hint="eastAsia"/>
              </w:rPr>
              <w:t>：营养支持推荐意见</w:t>
            </w:r>
          </w:p>
        </w:tc>
        <w:tc>
          <w:tcPr>
            <w:tcW w:w="5374" w:type="dxa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:rsidR="000F3344" w:rsidRDefault="00403952">
            <w:pPr>
              <w:pStyle w:val="af6"/>
              <w:ind w:firstLineChars="0" w:firstLine="0"/>
              <w:jc w:val="both"/>
            </w:pPr>
            <w:r>
              <w:rPr>
                <w:rFonts w:hint="eastAsia"/>
              </w:rPr>
              <w:t>推荐意见</w:t>
            </w:r>
            <w:r w:rsidR="00871849">
              <w:t>13</w:t>
            </w:r>
            <w:r w:rsidR="00871849">
              <w:rPr>
                <w:rFonts w:hint="eastAsia"/>
              </w:rPr>
              <w:t>（中推荐）：建议尽早开始肠内营养支持，并给予益生菌调节肠道菌群，同时密切关注机体内环境改变。</w:t>
            </w:r>
          </w:p>
        </w:tc>
      </w:tr>
      <w:tr w:rsidR="000F3344">
        <w:trPr>
          <w:trHeight w:val="548"/>
          <w:jc w:val="center"/>
        </w:trPr>
        <w:tc>
          <w:tcPr>
            <w:tcW w:w="4252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:rsidR="000F3344" w:rsidRDefault="00871849">
            <w:pPr>
              <w:pStyle w:val="af6"/>
              <w:ind w:firstLineChars="0" w:firstLine="0"/>
              <w:jc w:val="both"/>
            </w:pPr>
            <w:r>
              <w:rPr>
                <w:rFonts w:hint="eastAsia"/>
              </w:rPr>
              <w:t>临床问题</w:t>
            </w:r>
            <w:r>
              <w:t>14</w:t>
            </w:r>
            <w:r>
              <w:rPr>
                <w:rFonts w:hint="eastAsia"/>
              </w:rPr>
              <w:t>：康复功能锻炼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:rsidR="000F3344" w:rsidRDefault="00871849" w:rsidP="00403952">
            <w:pPr>
              <w:pStyle w:val="af6"/>
              <w:ind w:firstLineChars="0" w:firstLine="0"/>
              <w:jc w:val="both"/>
            </w:pPr>
            <w:r>
              <w:rPr>
                <w:rFonts w:hint="eastAsia"/>
              </w:rPr>
              <w:t>推荐意见</w:t>
            </w:r>
            <w:r>
              <w:t>14</w:t>
            </w:r>
            <w:r>
              <w:rPr>
                <w:rFonts w:hint="eastAsia"/>
              </w:rPr>
              <w:t>（中推荐）：应重视烧伤和呼吸功能相关康复功能锻炼，尽早开始，循序渐进，并持续至完全康复。</w:t>
            </w:r>
          </w:p>
        </w:tc>
      </w:tr>
    </w:tbl>
    <w:p w:rsidR="000F3344" w:rsidRDefault="00871849">
      <w:pPr>
        <w:pStyle w:val="23"/>
        <w:ind w:firstLine="320"/>
      </w:pPr>
      <w:r>
        <w:rPr>
          <w:rFonts w:hint="eastAsia"/>
        </w:rPr>
        <w:t>注：</w:t>
      </w:r>
      <w:r>
        <w:t>COVID-19</w:t>
      </w:r>
      <w:r>
        <w:rPr>
          <w:rFonts w:hint="eastAsia"/>
        </w:rPr>
        <w:t>为新型冠状病毒感染；</w:t>
      </w:r>
      <w:r>
        <w:t>1 mmHg=0.133 kPa</w:t>
      </w:r>
    </w:p>
    <w:sectPr w:rsidR="000F3344">
      <w:footnotePr>
        <w:numFmt w:val="decimalEnclosedCircleChinese"/>
      </w:footnotePr>
      <w:pgSz w:w="11907" w:h="16443"/>
      <w:pgMar w:top="158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28DE" w:rsidRDefault="005728DE" w:rsidP="006C537E">
      <w:r>
        <w:separator/>
      </w:r>
    </w:p>
  </w:endnote>
  <w:endnote w:type="continuationSeparator" w:id="0">
    <w:p w:rsidR="005728DE" w:rsidRDefault="005728DE" w:rsidP="006C5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EU-BZ">
    <w:altName w:val="宋体"/>
    <w:panose1 w:val="02010600010101010101"/>
    <w:charset w:val="86"/>
    <w:family w:val="auto"/>
    <w:pitch w:val="variable"/>
    <w:sig w:usb0="E00002FF" w:usb1="58CFECFF" w:usb2="05000016" w:usb3="00000000" w:csb0="00040001" w:csb1="00000000"/>
  </w:font>
  <w:font w:name="方正书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U-HZ">
    <w:panose1 w:val="02010600010101010101"/>
    <w:charset w:val="86"/>
    <w:family w:val="auto"/>
    <w:pitch w:val="variable"/>
    <w:sig w:usb0="E00002FF" w:usb1="48CF84DB" w:usb2="04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28DE" w:rsidRDefault="005728DE">
      <w:r>
        <w:separator/>
      </w:r>
    </w:p>
  </w:footnote>
  <w:footnote w:type="continuationSeparator" w:id="0">
    <w:p w:rsidR="005728DE" w:rsidRDefault="005728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5694C"/>
    <w:multiLevelType w:val="multilevel"/>
    <w:tmpl w:val="D17E7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874341C"/>
    <w:multiLevelType w:val="hybridMultilevel"/>
    <w:tmpl w:val="BCB0441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A514F3"/>
    <w:multiLevelType w:val="multilevel"/>
    <w:tmpl w:val="D17E7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66BC050C"/>
    <w:multiLevelType w:val="multilevel"/>
    <w:tmpl w:val="2B0E0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789E23E4"/>
    <w:multiLevelType w:val="hybridMultilevel"/>
    <w:tmpl w:val="409E6D2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numFmt w:val="decimalEnclosedCircleChinese"/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docVars>
    <w:docVar w:name="KY_MEDREF_DOCUID" w:val="{781E78B2-0840-4B42-BFCD-8608702444A0}"/>
    <w:docVar w:name="KY_MEDREF_VERSION" w:val="3"/>
  </w:docVars>
  <w:rsids>
    <w:rsidRoot w:val="00FA57C3"/>
    <w:rsid w:val="000120E3"/>
    <w:rsid w:val="00043C97"/>
    <w:rsid w:val="00051636"/>
    <w:rsid w:val="0006373F"/>
    <w:rsid w:val="00075369"/>
    <w:rsid w:val="000B623B"/>
    <w:rsid w:val="000F3344"/>
    <w:rsid w:val="001302C8"/>
    <w:rsid w:val="0013235C"/>
    <w:rsid w:val="00152ED9"/>
    <w:rsid w:val="001C5ADF"/>
    <w:rsid w:val="002068E6"/>
    <w:rsid w:val="00292EDB"/>
    <w:rsid w:val="00326389"/>
    <w:rsid w:val="00327CDE"/>
    <w:rsid w:val="003865E2"/>
    <w:rsid w:val="00391EE7"/>
    <w:rsid w:val="003B1CD3"/>
    <w:rsid w:val="00403952"/>
    <w:rsid w:val="00405CA5"/>
    <w:rsid w:val="00451408"/>
    <w:rsid w:val="00486645"/>
    <w:rsid w:val="0049669A"/>
    <w:rsid w:val="004A2F49"/>
    <w:rsid w:val="004A3019"/>
    <w:rsid w:val="004B7523"/>
    <w:rsid w:val="00510EA2"/>
    <w:rsid w:val="005156A7"/>
    <w:rsid w:val="005243A2"/>
    <w:rsid w:val="00535272"/>
    <w:rsid w:val="005518C6"/>
    <w:rsid w:val="005728DE"/>
    <w:rsid w:val="0058578F"/>
    <w:rsid w:val="005B0CFB"/>
    <w:rsid w:val="005F127C"/>
    <w:rsid w:val="006C537E"/>
    <w:rsid w:val="006E28A5"/>
    <w:rsid w:val="00720332"/>
    <w:rsid w:val="0081363D"/>
    <w:rsid w:val="00843D10"/>
    <w:rsid w:val="00871849"/>
    <w:rsid w:val="008B3DDC"/>
    <w:rsid w:val="009217BC"/>
    <w:rsid w:val="00960619"/>
    <w:rsid w:val="00971BFB"/>
    <w:rsid w:val="009D7281"/>
    <w:rsid w:val="009F4C47"/>
    <w:rsid w:val="00A33F40"/>
    <w:rsid w:val="00AB315B"/>
    <w:rsid w:val="00B308B8"/>
    <w:rsid w:val="00B56464"/>
    <w:rsid w:val="00B82B68"/>
    <w:rsid w:val="00BA1E36"/>
    <w:rsid w:val="00BF17CB"/>
    <w:rsid w:val="00C44E2D"/>
    <w:rsid w:val="00C47140"/>
    <w:rsid w:val="00C6302E"/>
    <w:rsid w:val="00C82289"/>
    <w:rsid w:val="00C93E3A"/>
    <w:rsid w:val="00CB1D13"/>
    <w:rsid w:val="00CC1D43"/>
    <w:rsid w:val="00D01BC0"/>
    <w:rsid w:val="00D3685C"/>
    <w:rsid w:val="00D81827"/>
    <w:rsid w:val="00D940E1"/>
    <w:rsid w:val="00DE7C13"/>
    <w:rsid w:val="00E05032"/>
    <w:rsid w:val="00E336E3"/>
    <w:rsid w:val="00E5427A"/>
    <w:rsid w:val="00E629AC"/>
    <w:rsid w:val="00E93DC0"/>
    <w:rsid w:val="00EB4538"/>
    <w:rsid w:val="00EE16FF"/>
    <w:rsid w:val="00F043AD"/>
    <w:rsid w:val="00F2499B"/>
    <w:rsid w:val="00F81A0E"/>
    <w:rsid w:val="00FA57C3"/>
    <w:rsid w:val="00FC4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founder.com/pam"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2B9C11"/>
  <w15:docId w15:val="{F4F0CC81-C7E0-417D-8142-598E53ABB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="NEU-BZ" w:cstheme="minorBidi"/>
        <w:sz w:val="2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66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427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6C537E"/>
    <w:pPr>
      <w:tabs>
        <w:tab w:val="center" w:pos="4513"/>
        <w:tab w:val="right" w:pos="9026"/>
      </w:tabs>
    </w:pPr>
  </w:style>
  <w:style w:type="character" w:customStyle="1" w:styleId="a5">
    <w:name w:val="页眉 字符"/>
    <w:basedOn w:val="a0"/>
    <w:link w:val="a4"/>
    <w:uiPriority w:val="99"/>
    <w:rsid w:val="006C537E"/>
  </w:style>
  <w:style w:type="paragraph" w:styleId="a6">
    <w:name w:val="footer"/>
    <w:basedOn w:val="a7"/>
    <w:link w:val="a8"/>
    <w:rPr>
      <w:rFonts w:hint="default"/>
      <w:sz w:val="16"/>
      <w:szCs w:val="16"/>
    </w:rPr>
  </w:style>
  <w:style w:type="character" w:customStyle="1" w:styleId="a8">
    <w:name w:val="页脚 字符"/>
    <w:basedOn w:val="a0"/>
    <w:link w:val="a6"/>
    <w:uiPriority w:val="99"/>
    <w:rsid w:val="006C537E"/>
  </w:style>
  <w:style w:type="paragraph" w:styleId="a9">
    <w:name w:val="List Paragraph"/>
    <w:basedOn w:val="a"/>
    <w:uiPriority w:val="34"/>
    <w:qFormat/>
    <w:rsid w:val="00451408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9217BC"/>
    <w:rPr>
      <w:rFonts w:ascii="Tahoma" w:hAnsi="Tahoma" w:cs="Tahoma"/>
      <w:sz w:val="16"/>
      <w:szCs w:val="16"/>
    </w:rPr>
  </w:style>
  <w:style w:type="character" w:customStyle="1" w:styleId="ab">
    <w:name w:val="批注框文本 字符"/>
    <w:basedOn w:val="a0"/>
    <w:link w:val="aa"/>
    <w:uiPriority w:val="99"/>
    <w:semiHidden/>
    <w:rsid w:val="009217BC"/>
    <w:rPr>
      <w:rFonts w:ascii="Tahoma" w:hAnsi="Tahoma" w:cs="Tahoma"/>
      <w:sz w:val="16"/>
      <w:szCs w:val="16"/>
    </w:rPr>
  </w:style>
  <w:style w:type="paragraph" w:styleId="ac">
    <w:name w:val="Quote"/>
    <w:basedOn w:val="a"/>
    <w:next w:val="a"/>
    <w:link w:val="ad"/>
    <w:uiPriority w:val="29"/>
    <w:qFormat/>
    <w:rsid w:val="00F81A0E"/>
    <w:rPr>
      <w:i/>
      <w:iCs/>
      <w:color w:val="000000" w:themeColor="text1"/>
    </w:rPr>
  </w:style>
  <w:style w:type="character" w:customStyle="1" w:styleId="ad">
    <w:name w:val="引用 字符"/>
    <w:basedOn w:val="a0"/>
    <w:link w:val="ac"/>
    <w:uiPriority w:val="29"/>
    <w:rsid w:val="00F81A0E"/>
    <w:rPr>
      <w:i/>
      <w:iCs/>
      <w:color w:val="000000" w:themeColor="text1"/>
    </w:rPr>
  </w:style>
  <w:style w:type="table" w:styleId="-3">
    <w:name w:val="Light Shading Accent 3"/>
    <w:basedOn w:val="a1"/>
    <w:uiPriority w:val="60"/>
    <w:rsid w:val="00D3685C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MTDisplayEquation">
    <w:name w:val="MTDisplayEquation"/>
    <w:basedOn w:val="a"/>
    <w:next w:val="a"/>
    <w:link w:val="MTDisplayEquationChar"/>
    <w:pPr>
      <w:tabs>
        <w:tab w:val="center" w:pos="4160"/>
        <w:tab w:val="right" w:pos="8300"/>
      </w:tabs>
    </w:pPr>
  </w:style>
  <w:style w:type="character" w:customStyle="1" w:styleId="MTDisplayEquationChar">
    <w:name w:val="MTDisplayEquation Char"/>
    <w:basedOn w:val="a0"/>
    <w:link w:val="MTDisplayEquation"/>
  </w:style>
  <w:style w:type="character" w:customStyle="1" w:styleId="ae">
    <w:name w:val="脚注文本 字符"/>
    <w:basedOn w:val="a0"/>
    <w:link w:val="af"/>
    <w:uiPriority w:val="99"/>
    <w:semiHidden/>
    <w:rPr>
      <w:sz w:val="18"/>
      <w:szCs w:val="18"/>
    </w:rPr>
  </w:style>
  <w:style w:type="paragraph" w:styleId="af">
    <w:name w:val="footnote text"/>
    <w:basedOn w:val="a"/>
    <w:link w:val="ae"/>
    <w:uiPriority w:val="99"/>
    <w:semiHidden/>
    <w:unhideWhenUsed/>
    <w:pPr>
      <w:snapToGrid w:val="0"/>
    </w:pPr>
    <w:rPr>
      <w:sz w:val="18"/>
      <w:szCs w:val="18"/>
    </w:rPr>
  </w:style>
  <w:style w:type="character" w:styleId="af0">
    <w:name w:val="footnote reference"/>
    <w:basedOn w:val="a0"/>
    <w:uiPriority w:val="99"/>
    <w:semiHidden/>
    <w:unhideWhenUsed/>
    <w:rPr>
      <w:vertAlign w:val="superscript"/>
    </w:rPr>
  </w:style>
  <w:style w:type="paragraph" w:customStyle="1" w:styleId="af1">
    <w:name w:val="[基本段落]"/>
    <w:basedOn w:val="a7"/>
    <w:pPr>
      <w:ind w:firstLineChars="200" w:firstLine="200"/>
    </w:pPr>
  </w:style>
  <w:style w:type="paragraph" w:customStyle="1" w:styleId="af2">
    <w:name w:val="作者简介"/>
    <w:basedOn w:val="a7"/>
    <w:pPr>
      <w:spacing w:before="210"/>
    </w:pPr>
    <w:rPr>
      <w:rFonts w:hint="default"/>
      <w:sz w:val="16"/>
      <w:szCs w:val="16"/>
    </w:rPr>
  </w:style>
  <w:style w:type="paragraph" w:customStyle="1" w:styleId="af3">
    <w:name w:val="左页眉"/>
    <w:basedOn w:val="a7"/>
    <w:pPr>
      <w:jc w:val="right"/>
    </w:pPr>
    <w:rPr>
      <w:rFonts w:hint="default"/>
      <w:sz w:val="16"/>
      <w:szCs w:val="16"/>
      <w:bdr w:val="single" w:sz="3" w:space="0" w:color="auto"/>
      <w:shd w:val="clear" w:color="auto" w:fill="FFFFFF"/>
    </w:rPr>
  </w:style>
  <w:style w:type="paragraph" w:customStyle="1" w:styleId="af4">
    <w:name w:val="右页眉"/>
    <w:basedOn w:val="a7"/>
    <w:rPr>
      <w:rFonts w:hint="default"/>
      <w:sz w:val="16"/>
      <w:szCs w:val="16"/>
      <w:bdr w:val="single" w:sz="3" w:space="0" w:color="auto"/>
      <w:shd w:val="clear" w:color="auto" w:fill="FFFFFF"/>
    </w:rPr>
  </w:style>
  <w:style w:type="paragraph" w:customStyle="1" w:styleId="a7">
    <w:name w:val="[系统文字]"/>
    <w:pPr>
      <w:jc w:val="both"/>
    </w:pPr>
    <w:rPr>
      <w:rFonts w:ascii="NEU-BZ" w:eastAsia="方正书宋_GBK" w:hint="eastAsia"/>
      <w:color w:val="000000"/>
      <w:sz w:val="21"/>
      <w:szCs w:val="21"/>
    </w:rPr>
  </w:style>
  <w:style w:type="paragraph" w:customStyle="1" w:styleId="112-">
    <w:name w:val="112正文-指南共识"/>
    <w:basedOn w:val="a7"/>
    <w:pPr>
      <w:ind w:firstLineChars="200" w:firstLine="200"/>
    </w:pPr>
    <w:rPr>
      <w:rFonts w:hint="default"/>
    </w:rPr>
  </w:style>
  <w:style w:type="paragraph" w:customStyle="1" w:styleId="23">
    <w:name w:val="23表注"/>
    <w:basedOn w:val="a7"/>
    <w:pPr>
      <w:ind w:firstLineChars="200" w:firstLine="200"/>
    </w:pPr>
    <w:rPr>
      <w:rFonts w:hint="default"/>
      <w:sz w:val="16"/>
      <w:szCs w:val="16"/>
    </w:rPr>
  </w:style>
  <w:style w:type="paragraph" w:customStyle="1" w:styleId="af5">
    <w:name w:val="手稿日期"/>
    <w:basedOn w:val="a7"/>
    <w:pPr>
      <w:jc w:val="right"/>
    </w:pPr>
    <w:rPr>
      <w:rFonts w:hint="default"/>
      <w:sz w:val="18"/>
      <w:szCs w:val="18"/>
    </w:rPr>
  </w:style>
  <w:style w:type="paragraph" w:customStyle="1" w:styleId="01">
    <w:name w:val="01栏目标题"/>
    <w:basedOn w:val="a7"/>
    <w:pPr>
      <w:jc w:val="right"/>
    </w:pPr>
    <w:rPr>
      <w:rFonts w:hint="default"/>
      <w:w w:val="150"/>
      <w:sz w:val="24"/>
      <w:szCs w:val="24"/>
    </w:rPr>
  </w:style>
  <w:style w:type="paragraph" w:customStyle="1" w:styleId="1">
    <w:name w:val="[基本段落] 拷贝1"/>
    <w:basedOn w:val="a7"/>
    <w:pPr>
      <w:spacing w:before="136" w:after="136"/>
      <w:jc w:val="left"/>
    </w:pPr>
    <w:rPr>
      <w:rFonts w:hint="default"/>
    </w:rPr>
  </w:style>
  <w:style w:type="paragraph" w:customStyle="1" w:styleId="af6">
    <w:name w:val="表格内容"/>
    <w:basedOn w:val="a7"/>
    <w:pPr>
      <w:ind w:hangingChars="100" w:hanging="100"/>
      <w:jc w:val="center"/>
    </w:pPr>
    <w:rPr>
      <w:rFonts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2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app-settings mode="post">
  <meta-data>
    <meta-item type="title">
      <Params>
        <Param name="title-output-mode" value="completed-output" type="enum"/>
      </Params>
    </meta-item>
  </meta-data>
</app-settings>
</file>

<file path=customXml/item2.xml><?xml version="1.0" encoding="utf-8"?>
<dp:LabelRoot xmlns:dp="http://www.founder.com/2010/digitalPublish/labelTree" tagType="contentCtrl">
</dp:LabelRoot>
</file>

<file path=customXml/item3.xml><?xml version="1.0" encoding="utf-8"?>
<cxp:PackageInfo xmlns:cxp="http://www.founder.com/2010/customXmlParts">
  <LabelTrees>
    <LabelTree customXmlPartId="{4B3307D3-B2C9-4FF8-8CBB-8B9570B3AA04}"/>
  </LabelTrees>
</cxp:PackageInfo>
</file>

<file path=customXml/item4.xml><?xml version="1.0" encoding="utf-8"?>
<FX_SUPPLEMENTINFO>
  <alternativeDatas/>
  <ObjectBasicFmts/>
</FX_SUPPLEMENTINFO>
</file>

<file path=customXml/item5.xml><?xml version="1.0" encoding="utf-8"?>
<CoverPageProperties xmlns="http://schemas.microsoft.com/office/2006/coverPageProps">
  <PublishDate>2009-03-09T00:00:00</PublishDate>
  <Abstract/>
  <CompanyAddress/>
  <CompanyPhone/>
  <CompanyFax/>
  <CompanyEmail/>
</CoverPageProperties>
</file>

<file path=customXml/item6.xml><?xml version="1.0" encoding="utf-8"?>
<fxdataroot>
  <parastyle-set>
    <parastyle name="112正文-指南共识" metatype="中文表头,中文表题"/>
    <parastyle name="23表注" metatype="中文表注"/>
    <parastyle name="手稿日期" metatype="收稿日期"/>
    <parastyle name="页脚" metatype="中文引用格式"/>
  </parastyle-set>
</fxdataroot>
</file>

<file path=customXml/itemProps1.xml><?xml version="1.0" encoding="utf-8"?>
<ds:datastoreItem xmlns:ds="http://schemas.openxmlformats.org/officeDocument/2006/customXml" ds:itemID="{FEB2D2EE-3BD4-40A4-99ED-B34A2CEF9EB4}">
  <ds:schemaRefs/>
</ds:datastoreItem>
</file>

<file path=customXml/itemProps2.xml><?xml version="1.0" encoding="utf-8"?>
<ds:datastoreItem xmlns:ds="http://schemas.openxmlformats.org/officeDocument/2006/customXml" ds:itemID="{4B3307D3-B2C9-4FF8-8CBB-8B9570B3AA04}">
  <ds:schemaRefs>
    <ds:schemaRef ds:uri="http://www.founder.com/2010/digitalPublish/labelTree"/>
  </ds:schemaRefs>
</ds:datastoreItem>
</file>

<file path=customXml/itemProps3.xml><?xml version="1.0" encoding="utf-8"?>
<ds:datastoreItem xmlns:ds="http://schemas.openxmlformats.org/officeDocument/2006/customXml" ds:itemID="{A6139CF6-5931-4AE5-A712-2A5998365C5A}">
  <ds:schemaRefs>
    <ds:schemaRef ds:uri="http://www.founder.com/2010/customXmlParts"/>
  </ds:schemaRefs>
</ds:datastoreItem>
</file>

<file path=customXml/itemProps4.xml><?xml version="1.0" encoding="utf-8"?>
<ds:datastoreItem xmlns:ds="http://schemas.openxmlformats.org/officeDocument/2006/customXml" ds:itemID="{B7ACBCC7-9BEB-47F3-9B9F-23669E0B3F78}">
  <ds:schemaRefs/>
</ds:datastoreItem>
</file>

<file path=customXml/itemProps5.xml><?xml version="1.0" encoding="utf-8"?>
<ds:datastoreItem xmlns:ds="http://schemas.openxmlformats.org/officeDocument/2006/customXml" ds:itemID="{F8788689-C533-4448-945B-12F4B397B557}">
  <ds:schemaRefs>
    <ds:schemaRef ds:uri="http://schemas.microsoft.com/office/2006/coverPageProps"/>
  </ds:schemaRefs>
</ds:datastoreItem>
</file>

<file path=customXml/itemProps6.xml><?xml version="1.0" encoding="utf-8"?>
<ds:datastoreItem xmlns:ds="http://schemas.openxmlformats.org/officeDocument/2006/customXml" ds:itemID="{2B255ABC-D5B7-4D4F-950F-AAB590CDC12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Intergen Ltd</Company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Windows 用户</cp:lastModifiedBy>
  <cp:revision>37</cp:revision>
  <dcterms:created xsi:type="dcterms:W3CDTF">2009-03-05T00:31:00Z</dcterms:created>
  <dcterms:modified xsi:type="dcterms:W3CDTF">2023-08-23T03:29:00Z</dcterms:modified>
</cp:coreProperties>
</file>