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Times New Roman" w:hAnsi="Times New Roman" w:eastAsia="宋体" w:cs="Times New Roman"/>
          <w:bCs/>
          <w:color w:val="auto"/>
          <w:sz w:val="18"/>
          <w:szCs w:val="18"/>
          <w:lang w:val="en-US" w:eastAsia="zh-Hans"/>
        </w:rPr>
      </w:pPr>
      <w:r>
        <w:rPr>
          <w:rFonts w:hint="eastAsia" w:ascii="Times New Roman" w:hAnsi="Times New Roman" w:eastAsia="宋体" w:cs="Times New Roman"/>
          <w:bCs/>
          <w:color w:val="auto"/>
          <w:sz w:val="18"/>
          <w:szCs w:val="18"/>
          <w:lang w:val="en-US" w:eastAsia="zh-Hans"/>
        </w:rPr>
        <w:t>附录</w:t>
      </w:r>
      <w:r>
        <w:rPr>
          <w:rFonts w:hint="default" w:ascii="Times New Roman" w:hAnsi="Times New Roman" w:eastAsia="宋体" w:cs="Times New Roman"/>
          <w:bCs/>
          <w:color w:val="auto"/>
          <w:sz w:val="18"/>
          <w:szCs w:val="18"/>
          <w:lang w:eastAsia="zh-Hans"/>
        </w:rPr>
        <w:t xml:space="preserve">1  </w:t>
      </w:r>
      <w:r>
        <w:rPr>
          <w:rFonts w:hint="default" w:ascii="Times New Roman" w:hAnsi="Times New Roman" w:eastAsia="宋体" w:cs="Times New Roman"/>
          <w:bCs/>
          <w:color w:val="auto"/>
          <w:sz w:val="18"/>
          <w:szCs w:val="18"/>
        </w:rPr>
        <w:t>成人烧伤</w:t>
      </w:r>
      <w:r>
        <w:rPr>
          <w:rFonts w:hint="eastAsia" w:ascii="Times New Roman" w:hAnsi="Times New Roman" w:eastAsia="宋体" w:cs="Times New Roman"/>
          <w:bCs/>
          <w:color w:val="auto"/>
          <w:sz w:val="18"/>
          <w:szCs w:val="18"/>
          <w:lang w:val="en-US" w:eastAsia="zh-CN"/>
        </w:rPr>
        <w:t>PPT</w:t>
      </w:r>
      <w:r>
        <w:rPr>
          <w:rFonts w:hint="default" w:ascii="Times New Roman" w:hAnsi="Times New Roman" w:eastAsia="宋体" w:cs="Times New Roman"/>
          <w:bCs/>
          <w:color w:val="auto"/>
          <w:sz w:val="18"/>
          <w:szCs w:val="18"/>
        </w:rPr>
        <w:t>操作记录单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Cs/>
          <w:color w:val="auto"/>
          <w:sz w:val="18"/>
          <w:szCs w:val="18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color w:val="auto"/>
          <w:sz w:val="18"/>
          <w:szCs w:val="18"/>
        </w:rPr>
        <w:t>表1  成人烧伤</w:t>
      </w:r>
      <w:r>
        <w:rPr>
          <w:rFonts w:hint="eastAsia" w:ascii="Times New Roman" w:hAnsi="Times New Roman" w:eastAsia="宋体" w:cs="Times New Roman"/>
          <w:bCs/>
          <w:color w:val="auto"/>
          <w:sz w:val="18"/>
          <w:szCs w:val="18"/>
          <w:lang w:val="en-US" w:eastAsia="zh-CN"/>
        </w:rPr>
        <w:t>PPT</w:t>
      </w:r>
      <w:r>
        <w:rPr>
          <w:rFonts w:hint="default" w:ascii="Times New Roman" w:hAnsi="Times New Roman" w:eastAsia="宋体" w:cs="Times New Roman"/>
          <w:bCs/>
          <w:color w:val="auto"/>
          <w:sz w:val="18"/>
          <w:szCs w:val="18"/>
        </w:rPr>
        <w:t>操作记录单</w:t>
      </w:r>
    </w:p>
    <w:tbl>
      <w:tblPr>
        <w:tblStyle w:val="7"/>
        <w:tblW w:w="10781" w:type="dxa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35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姓名：           住院号：            床号：           开始时间：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</w:trPr>
        <w:tc>
          <w:tcPr>
            <w:tcW w:w="14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俯卧位通气的适应证与可能禁忌证</w:t>
            </w:r>
          </w:p>
        </w:tc>
        <w:tc>
          <w:tcPr>
            <w:tcW w:w="9356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实施指征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□成人烧伤各种原因ARDS所致的顽固性低氧血症，在呼气末正压≥5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cmH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O、积极肺复张的基础上，氧合指数≤150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mmHg时应积极行俯卧位通气，且时间不少于12 h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□成人烧伤非ARDS治疗（换药、手术、麻醉需要、复合伤、特殊治疗等）。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</w:trPr>
        <w:tc>
          <w:tcPr>
            <w:tcW w:w="1418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9356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相对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禁忌证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严重的血流动力学不稳定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□近期腹部手术需要限制体位者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□颅内压增高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□妊娠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□急性出血性疾病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□颜面部烧创伤或者术后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□颈椎、脊柱损伤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□不能耐受俯卧位姿势的其他情况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</w:trPr>
        <w:tc>
          <w:tcPr>
            <w:tcW w:w="141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操作前准备</w:t>
            </w:r>
          </w:p>
        </w:tc>
        <w:tc>
          <w:tcPr>
            <w:tcW w:w="9356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1.评估与核对: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1）血流动力学：生命体征相对平稳，可耐受PPT。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2）镇静状态： 机械通气患者PPV时建议深镇静，R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ASS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 xml:space="preserve"> 为 -4至-5分。未给予镇静者，有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人工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气道者应检查导管的位置以及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导管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是否通畅，清理气道及口鼻腔分泌物，检查气管固定绳松紧等；无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人工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气道者，嘱患者翻身前咳除口腔及深部痰，并教会患者俯卧位努力咳嗽及不适反馈等技巧。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3）胃肠道：PPT前半小时暂停肠内营养的供给，操作前回抽胃内容物，避免过多胃残余量致反流误吸。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4）核对俯卧位医嘱。向清醒患者做好解释工作，减轻患者的紧张情绪。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5）其他：检查各导管在位通畅，并确认可否暂时夹闭或有足够的长度随翻身床延长；检查局部敷料是否需要更换；检查易受压部位皮肤状况。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2.物品准备: 烧伤翻身床，泡沫辅料或者棉垫纱布，头枕，硅胶软枕，抢救车等。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3.患者准备: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1）检查翻身床性能（螺丝、撑脚、搁手搁脚板等）。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）根据仪器设备连接及患者体位反转的方便性确定PPT翻转方向。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3）将电极片移至肩臂部，整理监护仪各连接导线，撤离床旁仪器，并留出足够长度和空间便于翻转。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4）夹闭非紧急管路（如尿管、胃管等），妥善固定各导管，防止滑脱，整理各管路方向与身体纵轴方向一致，并留出足够长度便于翻转。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RRT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或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ECMO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管道妥善固定于身侧。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5）在患者面部额头、颧骨、双肩、胸前区、髂嵴、膝部、小腿部及其他骨隆突俯卧位易受压处垫上棉垫/敷料、泡沫型减压敷料、硅胶软枕。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4. 隔离患者在进行俯卧位通气前应进行三级防护：工作帽、乳胶手套、佩戴医用防护口罩、医用防护服、鞋套或靴套、护目镜、防护面屏、有条件者建议佩戴正压通气头罩。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</w:trPr>
        <w:tc>
          <w:tcPr>
            <w:tcW w:w="141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操作步骤</w:t>
            </w:r>
          </w:p>
        </w:tc>
        <w:tc>
          <w:tcPr>
            <w:tcW w:w="9356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1.位置与分工：通常至少需要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名操作员（医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或者护士）完成。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1）第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人（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下称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A）位于翻身床头侧，负责气道和呼吸机管路的妥善固定、头部的安置、发出口令和实施翻身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。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2）两人负责翻转病人分别站在翻身床头侧（A）和尾侧第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人（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下称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B）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3）第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人（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下称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C）位于床侧，负责看心电监护仪，检查患者肢体摆放位置和固定情况、各类导管的安置和固定，协助翻身床片，将下床片螺丝拧在上床片上等工作。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4）如患者行ECMO、CRRT等治疗，人力条件允许，建议增加第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人（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下称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D）专门负责确认设备管道是否在位、通畅，并监测机器运转情况。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2. 翻转方法及操作后处理：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1）仰卧位将患者四肢并拢，铺棉垫、大孔海绵垫，翻身床片（暴露会阴或臀部），将下床片螺丝拧在上床片上，适当固定肘关节及膝关节。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2）B松撑脚、松己侧活塞，A松己侧活塞。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3）A固定住患者的人工气道及呼吸机管路，断开呼吸机，发出翻身指令。按照事先商议好的翻转方向，迅速翻转。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4）翻身后A迅速接呼吸机，C协助判断呼吸状况。A与B卡活塞，上撑脚，松螺丝。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4）C协助拆除翻身床片、将下床片螺丝拧在上床片上等工作。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5）A观察患者头部棉垫位置以及眼部等受压情况。C全程关注生命体征、意识、面色、主诉等。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3. 翻身操作后处理：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1）B完成自身工作后与A和C一起帮助患者取舒适卧位，摆放好头部及肢体的功能位，避免受压。同时检查液体通路通畅性，各导管是否在位通畅、导线固定。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2）记录各项文书，A给予患者冲洗吸痰，B负责拍背、震痰等工作。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3）确认圆柱形枕位置恰当；整理确认各导管是否在位通畅、导线固定，摆放肢体于功能位。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</w:trPr>
        <w:tc>
          <w:tcPr>
            <w:tcW w:w="141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并发症</w:t>
            </w:r>
          </w:p>
        </w:tc>
        <w:tc>
          <w:tcPr>
            <w:tcW w:w="9356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并发症及注意事项:（1）皮肤黏膜以及眼部等压迫受损；（2）气管插管、动静脉管道及各种引流管的压迫、扭曲、移位、脱出；（3）注意患者气道的引流，防止气道阻塞；（4）颜面部水肿、出血。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</w:trPr>
        <w:tc>
          <w:tcPr>
            <w:tcW w:w="1418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俯卧位通气结束</w:t>
            </w:r>
          </w:p>
        </w:tc>
        <w:tc>
          <w:tcPr>
            <w:tcW w:w="9356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翻身床:按翻身床使用和操作方法进行。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俯卧位结束时间:     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81" w:type="dxa"/>
            <w:gridSpan w:val="3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</w:rPr>
              <w:t>医师签名：                                                                 护士签名：</w:t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宋体" w:cs="Times New Roman"/>
          <w:bCs/>
          <w:sz w:val="18"/>
          <w:szCs w:val="18"/>
        </w:rPr>
      </w:pPr>
    </w:p>
    <w:p>
      <w:pPr>
        <w:rPr>
          <w:rFonts w:hint="eastAsia" w:ascii="Times New Roman" w:hAnsi="Times New Roman" w:eastAsia="宋体" w:cs="Times New Roman"/>
          <w:bCs/>
          <w:color w:val="auto"/>
          <w:sz w:val="18"/>
          <w:szCs w:val="18"/>
          <w:lang w:val="en-US" w:eastAsia="zh-Hans"/>
        </w:rPr>
      </w:pPr>
      <w:r>
        <w:rPr>
          <w:rFonts w:hint="eastAsia" w:ascii="Times New Roman" w:hAnsi="Times New Roman" w:eastAsia="宋体" w:cs="Times New Roman"/>
          <w:bCs/>
          <w:color w:val="auto"/>
          <w:sz w:val="18"/>
          <w:szCs w:val="18"/>
          <w:lang w:val="en-US" w:eastAsia="zh-Hans"/>
        </w:rPr>
        <w:br w:type="page"/>
      </w:r>
    </w:p>
    <w:p>
      <w:pPr>
        <w:spacing w:line="360" w:lineRule="auto"/>
        <w:jc w:val="both"/>
        <w:rPr>
          <w:rFonts w:hint="eastAsia" w:ascii="Times New Roman" w:hAnsi="Times New Roman" w:eastAsia="宋体" w:cs="Times New Roman"/>
          <w:bCs/>
          <w:color w:val="auto"/>
          <w:sz w:val="18"/>
          <w:szCs w:val="18"/>
          <w:lang w:val="en-US" w:eastAsia="zh-Hans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Cs/>
          <w:color w:val="auto"/>
          <w:sz w:val="18"/>
          <w:szCs w:val="18"/>
          <w:lang w:val="en-US" w:eastAsia="zh-Hans"/>
        </w:rPr>
        <w:t>附录</w:t>
      </w:r>
      <w:r>
        <w:rPr>
          <w:rFonts w:hint="default" w:ascii="Times New Roman" w:hAnsi="Times New Roman" w:eastAsia="宋体" w:cs="Times New Roman"/>
          <w:bCs/>
          <w:color w:val="auto"/>
          <w:sz w:val="18"/>
          <w:szCs w:val="18"/>
          <w:lang w:eastAsia="zh-Hans"/>
        </w:rPr>
        <w:t>2</w:t>
      </w:r>
      <w:r>
        <w:rPr>
          <w:rFonts w:hint="default" w:ascii="Times New Roman" w:hAnsi="Times New Roman" w:eastAsia="宋体" w:cs="Times New Roman"/>
          <w:bCs/>
          <w:color w:val="auto"/>
          <w:sz w:val="18"/>
          <w:szCs w:val="18"/>
          <w:lang w:eastAsia="zh-Hans"/>
        </w:rPr>
        <w:t xml:space="preserve">  </w:t>
      </w:r>
      <w:r>
        <w:rPr>
          <w:rFonts w:hint="default" w:ascii="Times New Roman" w:hAnsi="Times New Roman" w:eastAsia="宋体" w:cs="Times New Roman"/>
          <w:bCs/>
          <w:color w:val="auto"/>
          <w:sz w:val="18"/>
          <w:szCs w:val="18"/>
        </w:rPr>
        <w:t>成人烧伤</w:t>
      </w:r>
      <w:r>
        <w:rPr>
          <w:rFonts w:hint="eastAsia" w:ascii="Times New Roman" w:hAnsi="Times New Roman" w:eastAsia="宋体" w:cs="Times New Roman"/>
          <w:bCs/>
          <w:color w:val="auto"/>
          <w:sz w:val="18"/>
          <w:szCs w:val="18"/>
          <w:lang w:val="en-US" w:eastAsia="zh-CN"/>
        </w:rPr>
        <w:t>PPT</w:t>
      </w:r>
      <w:r>
        <w:rPr>
          <w:rFonts w:hint="default" w:ascii="Times New Roman" w:hAnsi="Times New Roman" w:eastAsia="宋体" w:cs="Times New Roman"/>
          <w:bCs/>
          <w:color w:val="auto"/>
          <w:sz w:val="18"/>
          <w:szCs w:val="18"/>
        </w:rPr>
        <w:t>操作记录单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Cs/>
          <w:sz w:val="18"/>
          <w:szCs w:val="18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 w:val="18"/>
          <w:szCs w:val="18"/>
        </w:rPr>
        <w:t>表2  成人烧伤PPT主要指标记录单</w:t>
      </w:r>
    </w:p>
    <w:tbl>
      <w:tblPr>
        <w:tblStyle w:val="7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335"/>
        <w:gridCol w:w="1037"/>
        <w:gridCol w:w="1118"/>
        <w:gridCol w:w="1118"/>
        <w:gridCol w:w="1118"/>
        <w:gridCol w:w="111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982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7964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335" w:type="dxa"/>
            <w:vMerge w:val="restart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7964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037" w:type="dxa"/>
            <w:vMerge w:val="restart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7964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俯卧位前</w:t>
            </w:r>
          </w:p>
        </w:tc>
        <w:tc>
          <w:tcPr>
            <w:tcW w:w="4473" w:type="dxa"/>
            <w:gridSpan w:val="4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7964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俯卧位</w:t>
            </w:r>
          </w:p>
        </w:tc>
        <w:tc>
          <w:tcPr>
            <w:tcW w:w="1332" w:type="dxa"/>
            <w:vMerge w:val="restart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7964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俯卧位结束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（16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1332" w:type="dxa"/>
            <w:vMerge w:val="continue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血气分析</w:t>
            </w: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PaO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PaCO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SaO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FiO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机械通气</w:t>
            </w: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气道峰压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平台压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潮气量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生命体征</w:t>
            </w: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呼吸频率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血压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心率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  <w:szCs w:val="18"/>
              </w:rPr>
              <w:t>镇痛镇静</w:t>
            </w: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RASS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  <w:t>疼痛观察评分</w:t>
            </w:r>
          </w:p>
        </w:tc>
        <w:tc>
          <w:tcPr>
            <w:tcW w:w="1037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F79646" w:sz="8" w:space="0"/>
              <w:left w:val="dotted" w:color="auto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Cs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NjIyN2EzZWY4ZWNlYjk2OTJlM2M3MzEyNjVjMWMifQ=="/>
    <w:docVar w:name="KY_MEDREF_DOCUID" w:val="{03F2B5DD-A8B6-4EC9-A6EC-0B0FB5E34781}"/>
    <w:docVar w:name="KY_MEDREF_VERSION" w:val="3"/>
  </w:docVars>
  <w:rsids>
    <w:rsidRoot w:val="1A4273C1"/>
    <w:rsid w:val="1A4273C1"/>
    <w:rsid w:val="5E9E74EF"/>
    <w:rsid w:val="709112CC"/>
    <w:rsid w:val="7ADFEDFB"/>
    <w:rsid w:val="B1E49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tabs>
        <w:tab w:val="center" w:pos="4153"/>
        <w:tab w:val="right" w:pos="8306"/>
      </w:tabs>
      <w:spacing w:before="280" w:after="290" w:line="376" w:lineRule="auto"/>
      <w:outlineLvl w:val="3"/>
    </w:pPr>
    <w:rPr>
      <w:rFonts w:ascii="等线 Light" w:hAnsi="等线 Light" w:eastAsia="等线 Light" w:cs="宋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1774</Words>
  <Characters>1849</Characters>
  <Lines>0</Lines>
  <Paragraphs>0</Paragraphs>
  <TotalTime>0</TotalTime>
  <ScaleCrop>false</ScaleCrop>
  <LinksUpToDate>false</LinksUpToDate>
  <CharactersWithSpaces>1970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2022-07-21T17:57:00Z</dcterms:created>
  <dc:creator>alicejing</dc:creator>
  <cp:lastModifiedBy>robin</cp:lastModifiedBy>
  <dcterms:modified xsi:type="dcterms:W3CDTF">2022-07-27T21:20:12Z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  <property fmtid="{D5CDD505-2E9C-101B-9397-08002B2CF9AE}" pid="3" name="ICV">
    <vt:lpwstr>6808297346544E369D7E4BC830769DAB</vt:lpwstr>
  </property>
</Properties>
</file>